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11" w:leftChars="-53" w:firstLine="109" w:firstLineChars="39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28"/>
          <w:szCs w:val="28"/>
          <w:shd w:val="clear" w:color="auto" w:fill="FFFFFF"/>
        </w:rPr>
        <w:t>附件二：</w:t>
      </w:r>
      <w:r>
        <w:rPr>
          <w:rFonts w:hint="eastAsia" w:ascii="宋体" w:hAnsi="宋体"/>
          <w:sz w:val="32"/>
          <w:szCs w:val="32"/>
        </w:rPr>
        <w:t>珠海科技学院普通专升本招生考试大纲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年普通专升本招生入学考试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健康服务与管理 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健康管理学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一</w:t>
      </w:r>
      <w:r>
        <w:rPr>
          <w:rFonts w:ascii="Times New Roman" w:hAnsi="Times New Roman" w:cs="Times New Roman"/>
          <w:b/>
          <w:sz w:val="28"/>
          <w:szCs w:val="28"/>
        </w:rPr>
        <w:t xml:space="preserve"> 健康管理的基本概念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健康管理的概念及学科范畴</w:t>
      </w:r>
    </w:p>
    <w:p>
      <w:pPr>
        <w:pStyle w:val="1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健康管理基本步骤</w:t>
      </w:r>
    </w:p>
    <w:p>
      <w:pPr>
        <w:pStyle w:val="1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健康管理常用服务流程</w:t>
      </w:r>
    </w:p>
    <w:p>
      <w:pPr>
        <w:pStyle w:val="1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健康管理的主要目标</w:t>
      </w:r>
    </w:p>
    <w:p>
      <w:pPr>
        <w:pStyle w:val="1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健康管理的主要任务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二</w:t>
      </w:r>
      <w:r>
        <w:rPr>
          <w:rFonts w:ascii="Times New Roman" w:hAnsi="Times New Roman" w:cs="Times New Roman"/>
          <w:b/>
          <w:sz w:val="28"/>
          <w:szCs w:val="28"/>
        </w:rPr>
        <w:t xml:space="preserve"> 医学基础知识</w:t>
      </w:r>
      <w:r>
        <w:rPr>
          <w:rFonts w:ascii="Times New Roman" w:hAnsi="Times New Roman" w:cs="Times New Roman"/>
          <w:b/>
          <w:sz w:val="24"/>
          <w:szCs w:val="24"/>
        </w:rPr>
        <w:t>（考核比重：8%）</w:t>
      </w:r>
    </w:p>
    <w:p>
      <w:pPr>
        <w:pStyle w:val="11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人体形态与功能</w:t>
      </w:r>
    </w:p>
    <w:p>
      <w:pPr>
        <w:pStyle w:val="11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现代医学主要诊断技术</w:t>
      </w:r>
    </w:p>
    <w:p>
      <w:pPr>
        <w:pStyle w:val="11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临床预防服务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三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sz w:val="28"/>
          <w:szCs w:val="28"/>
        </w:rPr>
        <w:t>常用医学统计方法</w:t>
      </w:r>
      <w:r>
        <w:rPr>
          <w:rFonts w:ascii="Times New Roman" w:hAnsi="Times New Roman" w:cs="Times New Roman"/>
          <w:b/>
          <w:sz w:val="24"/>
          <w:szCs w:val="24"/>
        </w:rPr>
        <w:t>（考核比重：8%）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统计工作的基本步骤与基本概念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统计表与统计图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数值变量资料的统计分析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分类变量资料的统计分析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秩和检验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直线相关与直线回归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多变量分析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sz w:val="28"/>
          <w:szCs w:val="28"/>
        </w:rPr>
        <w:t>流行病学原理和方法</w:t>
      </w:r>
      <w:r>
        <w:rPr>
          <w:rFonts w:ascii="Times New Roman" w:hAnsi="Times New Roman" w:cs="Times New Roman"/>
          <w:b/>
          <w:sz w:val="24"/>
          <w:szCs w:val="24"/>
        </w:rPr>
        <w:t>（考核比重：10%）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流行病学概述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描述性研究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队列研究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病例对照研究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实验性研究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筛检试验与诊断试验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流行病学研究的误差与偏倚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公共卫生监测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五</w:t>
      </w:r>
      <w:r>
        <w:rPr>
          <w:rFonts w:ascii="Times New Roman" w:hAnsi="Times New Roman" w:cs="Times New Roman"/>
          <w:b/>
          <w:sz w:val="28"/>
          <w:szCs w:val="28"/>
        </w:rPr>
        <w:t xml:space="preserve"> 中医治未病理念和方法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中医治未病与养生概念</w:t>
      </w:r>
    </w:p>
    <w:p>
      <w:pPr>
        <w:pStyle w:val="11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体质与治未病</w:t>
      </w:r>
    </w:p>
    <w:p>
      <w:pPr>
        <w:pStyle w:val="11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中医养生与治未病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六</w:t>
      </w:r>
      <w:r>
        <w:rPr>
          <w:rFonts w:ascii="Times New Roman" w:hAnsi="Times New Roman" w:cs="Times New Roman"/>
          <w:b/>
          <w:sz w:val="28"/>
          <w:szCs w:val="28"/>
        </w:rPr>
        <w:t xml:space="preserve"> 健康信息管理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健康信息采集</w:t>
      </w:r>
    </w:p>
    <w:p>
      <w:pPr>
        <w:pStyle w:val="11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健康管理信息平台</w:t>
      </w:r>
    </w:p>
    <w:p>
      <w:pPr>
        <w:pStyle w:val="11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居民健康档案及其管理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七</w:t>
      </w:r>
      <w:r>
        <w:rPr>
          <w:rFonts w:ascii="Times New Roman" w:hAnsi="Times New Roman" w:cs="Times New Roman"/>
          <w:b/>
          <w:sz w:val="28"/>
          <w:szCs w:val="28"/>
        </w:rPr>
        <w:t xml:space="preserve"> 健康风险评估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风险与风险管理</w:t>
      </w:r>
    </w:p>
    <w:p>
      <w:pPr>
        <w:pStyle w:val="11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健康风险评估的基本原理</w:t>
      </w:r>
    </w:p>
    <w:p>
      <w:pPr>
        <w:pStyle w:val="11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健康风险评估操作流程与结果的解释</w:t>
      </w:r>
    </w:p>
    <w:p>
      <w:pPr>
        <w:pStyle w:val="11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健康风险评估的目的和应用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八</w:t>
      </w:r>
      <w:r>
        <w:rPr>
          <w:rFonts w:ascii="Times New Roman" w:hAnsi="Times New Roman" w:cs="Times New Roman"/>
          <w:b/>
          <w:sz w:val="28"/>
          <w:szCs w:val="28"/>
        </w:rPr>
        <w:t xml:space="preserve"> 传染病预防</w:t>
      </w:r>
      <w:r>
        <w:rPr>
          <w:rFonts w:hint="eastAsia" w:ascii="Times New Roman" w:hAnsi="Times New Roman" w:cs="Times New Roman"/>
          <w:b/>
          <w:sz w:val="28"/>
          <w:szCs w:val="28"/>
        </w:rPr>
        <w:t>与</w:t>
      </w:r>
      <w:r>
        <w:rPr>
          <w:rFonts w:ascii="Times New Roman" w:hAnsi="Times New Roman" w:cs="Times New Roman"/>
          <w:b/>
          <w:sz w:val="28"/>
          <w:szCs w:val="28"/>
        </w:rPr>
        <w:t>控制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传染病的流行过程</w:t>
      </w:r>
    </w:p>
    <w:p>
      <w:pPr>
        <w:pStyle w:val="11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传染病预防控制</w:t>
      </w:r>
      <w:r>
        <w:rPr>
          <w:rFonts w:hint="eastAsia" w:ascii="Times New Roman" w:hAnsi="Times New Roman" w:cs="Times New Roman"/>
          <w:sz w:val="24"/>
          <w:szCs w:val="24"/>
        </w:rPr>
        <w:t>的策略与</w:t>
      </w:r>
      <w:r>
        <w:rPr>
          <w:rFonts w:ascii="Times New Roman" w:hAnsi="Times New Roman" w:cs="Times New Roman"/>
          <w:sz w:val="24"/>
          <w:szCs w:val="24"/>
        </w:rPr>
        <w:t>措施</w:t>
      </w:r>
    </w:p>
    <w:p>
      <w:pPr>
        <w:pStyle w:val="11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免疫规划及其效果评价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九</w:t>
      </w:r>
      <w:r>
        <w:rPr>
          <w:rFonts w:ascii="Times New Roman" w:hAnsi="Times New Roman" w:cs="Times New Roman"/>
          <w:b/>
          <w:sz w:val="28"/>
          <w:szCs w:val="28"/>
        </w:rPr>
        <w:t xml:space="preserve"> 慢性非传染性疾病</w:t>
      </w:r>
      <w:r>
        <w:rPr>
          <w:rFonts w:hint="eastAsia" w:ascii="Times New Roman" w:hAnsi="Times New Roman" w:cs="Times New Roman"/>
          <w:b/>
          <w:sz w:val="28"/>
          <w:szCs w:val="28"/>
        </w:rPr>
        <w:t>的</w:t>
      </w:r>
      <w:r>
        <w:rPr>
          <w:rFonts w:ascii="Times New Roman" w:hAnsi="Times New Roman" w:cs="Times New Roman"/>
          <w:b/>
          <w:sz w:val="28"/>
          <w:szCs w:val="28"/>
        </w:rPr>
        <w:t>预防</w:t>
      </w:r>
      <w:r>
        <w:rPr>
          <w:rFonts w:hint="eastAsia" w:ascii="Times New Roman" w:hAnsi="Times New Roman" w:cs="Times New Roman"/>
          <w:b/>
          <w:sz w:val="28"/>
          <w:szCs w:val="28"/>
        </w:rPr>
        <w:t>与管理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慢性非传染性疾病</w:t>
      </w:r>
      <w:r>
        <w:rPr>
          <w:rFonts w:hint="eastAsia" w:ascii="Times New Roman" w:hAnsi="Times New Roman" w:cs="Times New Roman"/>
          <w:sz w:val="24"/>
          <w:szCs w:val="24"/>
        </w:rPr>
        <w:t>的流行现状</w:t>
      </w:r>
    </w:p>
    <w:p>
      <w:pPr>
        <w:pStyle w:val="11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慢性非传染性疾病</w:t>
      </w:r>
      <w:r>
        <w:rPr>
          <w:rFonts w:hint="eastAsia" w:ascii="Times New Roman" w:hAnsi="Times New Roman" w:cs="Times New Roman"/>
          <w:sz w:val="24"/>
          <w:szCs w:val="24"/>
        </w:rPr>
        <w:t>的主要危险</w:t>
      </w:r>
      <w:r>
        <w:rPr>
          <w:rFonts w:ascii="Times New Roman" w:hAnsi="Times New Roman" w:cs="Times New Roman"/>
          <w:sz w:val="24"/>
          <w:szCs w:val="24"/>
        </w:rPr>
        <w:t>因素</w:t>
      </w:r>
    </w:p>
    <w:p>
      <w:pPr>
        <w:pStyle w:val="11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慢性非传染性疾病的</w:t>
      </w:r>
      <w:r>
        <w:rPr>
          <w:rFonts w:hint="eastAsia" w:ascii="Times New Roman" w:hAnsi="Times New Roman" w:cs="Times New Roman"/>
          <w:sz w:val="24"/>
          <w:szCs w:val="24"/>
        </w:rPr>
        <w:t>防治策略与措施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 健康教育与健康促进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健康教育</w:t>
      </w:r>
    </w:p>
    <w:p>
      <w:pPr>
        <w:pStyle w:val="11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行为干预</w:t>
      </w:r>
    </w:p>
    <w:p>
      <w:pPr>
        <w:pStyle w:val="11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健康促进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考点十一 </w:t>
      </w:r>
      <w:r>
        <w:rPr>
          <w:rFonts w:hint="eastAsia" w:ascii="Times New Roman" w:hAnsi="Times New Roman" w:cs="Times New Roman"/>
          <w:b/>
          <w:sz w:val="28"/>
          <w:szCs w:val="28"/>
        </w:rPr>
        <w:t>环境与健康</w:t>
      </w:r>
      <w:r>
        <w:rPr>
          <w:rFonts w:ascii="Times New Roman" w:hAnsi="Times New Roman" w:cs="Times New Roman"/>
          <w:b/>
          <w:sz w:val="24"/>
          <w:szCs w:val="24"/>
        </w:rPr>
        <w:t>（考核比重：8%）</w:t>
      </w:r>
    </w:p>
    <w:p>
      <w:pPr>
        <w:pStyle w:val="11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人类环境与健康</w:t>
      </w:r>
    </w:p>
    <w:p>
      <w:pPr>
        <w:pStyle w:val="11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生活环境与健康</w:t>
      </w:r>
    </w:p>
    <w:p>
      <w:pPr>
        <w:pStyle w:val="11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生产环节与健康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二</w:t>
      </w:r>
      <w:r>
        <w:rPr>
          <w:rFonts w:ascii="Times New Roman" w:hAnsi="Times New Roman" w:cs="Times New Roman"/>
          <w:b/>
          <w:sz w:val="28"/>
          <w:szCs w:val="28"/>
        </w:rPr>
        <w:t xml:space="preserve"> 生活方式的健康管理</w:t>
      </w:r>
      <w:r>
        <w:rPr>
          <w:rFonts w:ascii="Times New Roman" w:hAnsi="Times New Roman" w:cs="Times New Roman"/>
          <w:b/>
          <w:sz w:val="24"/>
          <w:szCs w:val="24"/>
        </w:rPr>
        <w:t>（考核比重：8%）</w:t>
      </w:r>
    </w:p>
    <w:p>
      <w:pPr>
        <w:pStyle w:val="11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食物与健康</w:t>
      </w:r>
    </w:p>
    <w:p>
      <w:pPr>
        <w:pStyle w:val="11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身体活动</w:t>
      </w:r>
    </w:p>
    <w:p>
      <w:pPr>
        <w:pStyle w:val="11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成瘾行为</w:t>
      </w:r>
    </w:p>
    <w:p>
      <w:pPr>
        <w:pStyle w:val="11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控烟指导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三</w:t>
      </w:r>
      <w:r>
        <w:rPr>
          <w:rFonts w:ascii="Times New Roman" w:hAnsi="Times New Roman" w:cs="Times New Roman"/>
          <w:b/>
          <w:sz w:val="28"/>
          <w:szCs w:val="28"/>
        </w:rPr>
        <w:t xml:space="preserve"> 心理健康管理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心理健康的定义和特征</w:t>
      </w:r>
    </w:p>
    <w:p>
      <w:pPr>
        <w:pStyle w:val="11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心理健康管理</w:t>
      </w:r>
    </w:p>
    <w:p>
      <w:pPr>
        <w:pStyle w:val="11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心身疾病</w:t>
      </w:r>
    </w:p>
    <w:p>
      <w:pPr>
        <w:pStyle w:val="11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常见心理问题与对策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四</w:t>
      </w:r>
      <w:r>
        <w:rPr>
          <w:rFonts w:ascii="Times New Roman" w:hAnsi="Times New Roman" w:cs="Times New Roman"/>
          <w:b/>
          <w:sz w:val="28"/>
          <w:szCs w:val="28"/>
        </w:rPr>
        <w:t xml:space="preserve"> 重点人群与疾病的健康管理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重点人群健康管理</w:t>
      </w:r>
    </w:p>
    <w:p>
      <w:pPr>
        <w:pStyle w:val="11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重点疾病健康管理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五</w:t>
      </w:r>
      <w:r>
        <w:rPr>
          <w:rFonts w:ascii="Times New Roman" w:hAnsi="Times New Roman" w:cs="Times New Roman"/>
          <w:b/>
          <w:sz w:val="28"/>
          <w:szCs w:val="28"/>
        </w:rPr>
        <w:t xml:space="preserve"> 家庭、学校和工作场所健康管理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家庭健康管理</w:t>
      </w:r>
    </w:p>
    <w:p>
      <w:pPr>
        <w:pStyle w:val="11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学校健康管理</w:t>
      </w:r>
    </w:p>
    <w:p>
      <w:pPr>
        <w:pStyle w:val="11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工作场所健康管理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六</w:t>
      </w:r>
      <w:r>
        <w:rPr>
          <w:rFonts w:ascii="Times New Roman" w:hAnsi="Times New Roman" w:cs="Times New Roman"/>
          <w:b/>
          <w:sz w:val="28"/>
          <w:szCs w:val="28"/>
        </w:rPr>
        <w:t xml:space="preserve"> 健康管理在健康体检中的应用</w:t>
      </w:r>
      <w:r>
        <w:rPr>
          <w:rFonts w:ascii="Times New Roman" w:hAnsi="Times New Roman" w:cs="Times New Roman"/>
          <w:b/>
          <w:sz w:val="24"/>
          <w:szCs w:val="24"/>
        </w:rPr>
        <w:t>（考核比重：2%）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健康体检的概念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健康体检机构设置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健康体检项目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健康体检流程及注意事项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健康问题与健康体检报告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体检报告的解读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健康体检质量控制与管理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七</w:t>
      </w:r>
      <w:r>
        <w:rPr>
          <w:rFonts w:ascii="Times New Roman" w:hAnsi="Times New Roman" w:cs="Times New Roman"/>
          <w:b/>
          <w:sz w:val="28"/>
          <w:szCs w:val="28"/>
        </w:rPr>
        <w:t xml:space="preserve"> 健康管理在健康保险中的应用</w:t>
      </w:r>
      <w:r>
        <w:rPr>
          <w:rFonts w:ascii="Times New Roman" w:hAnsi="Times New Roman" w:cs="Times New Roman"/>
          <w:b/>
          <w:sz w:val="24"/>
          <w:szCs w:val="24"/>
        </w:rPr>
        <w:t>（考核比重：2%）</w:t>
      </w:r>
    </w:p>
    <w:p>
      <w:pPr>
        <w:pStyle w:val="11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健康保险基本知识</w:t>
      </w:r>
    </w:p>
    <w:p>
      <w:pPr>
        <w:pStyle w:val="11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健康保险制度的主要模式</w:t>
      </w:r>
    </w:p>
    <w:p>
      <w:pPr>
        <w:pStyle w:val="11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健康管理与健康保险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八</w:t>
      </w:r>
      <w:r>
        <w:rPr>
          <w:rFonts w:ascii="Times New Roman" w:hAnsi="Times New Roman" w:cs="Times New Roman"/>
          <w:b/>
          <w:sz w:val="28"/>
          <w:szCs w:val="28"/>
        </w:rPr>
        <w:t xml:space="preserve"> 循证</w:t>
      </w:r>
      <w:r>
        <w:rPr>
          <w:rFonts w:hint="eastAsia" w:ascii="Times New Roman" w:hAnsi="Times New Roman" w:cs="Times New Roman"/>
          <w:b/>
          <w:sz w:val="28"/>
          <w:szCs w:val="28"/>
        </w:rPr>
        <w:t>医学与循证决策</w:t>
      </w:r>
      <w:r>
        <w:rPr>
          <w:rFonts w:ascii="Times New Roman" w:hAnsi="Times New Roman" w:cs="Times New Roman"/>
          <w:b/>
          <w:sz w:val="24"/>
          <w:szCs w:val="24"/>
        </w:rPr>
        <w:t>（考核比重：2%）</w:t>
      </w:r>
    </w:p>
    <w:p>
      <w:pPr>
        <w:pStyle w:val="11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循证医学的基本概念</w:t>
      </w:r>
      <w:r>
        <w:rPr>
          <w:rFonts w:hint="eastAsia" w:ascii="Times New Roman" w:hAnsi="Times New Roman" w:cs="Times New Roman"/>
          <w:sz w:val="24"/>
          <w:szCs w:val="24"/>
        </w:rPr>
        <w:t>及意义</w:t>
      </w:r>
    </w:p>
    <w:p>
      <w:pPr>
        <w:pStyle w:val="11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循证</w:t>
      </w:r>
      <w:r>
        <w:rPr>
          <w:rFonts w:hint="eastAsia" w:ascii="Times New Roman" w:hAnsi="Times New Roman" w:cs="Times New Roman"/>
          <w:sz w:val="24"/>
          <w:szCs w:val="24"/>
        </w:rPr>
        <w:t>医学的研究内容与实施方法</w:t>
      </w:r>
    </w:p>
    <w:p>
      <w:pPr>
        <w:pStyle w:val="11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系统评价与Meta分析</w:t>
      </w:r>
    </w:p>
    <w:p>
      <w:pPr>
        <w:pStyle w:val="11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循证医学信息来源及利用</w:t>
      </w:r>
    </w:p>
    <w:p>
      <w:pPr>
        <w:pStyle w:val="11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循证决策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sz w:val="28"/>
          <w:szCs w:val="28"/>
        </w:rPr>
        <w:t>卫生服务体系与卫生管理</w:t>
      </w:r>
      <w:r>
        <w:rPr>
          <w:rFonts w:ascii="Times New Roman" w:hAnsi="Times New Roman" w:cs="Times New Roman"/>
          <w:b/>
          <w:sz w:val="24"/>
          <w:szCs w:val="24"/>
        </w:rPr>
        <w:t>（考核比重：2%）</w:t>
      </w:r>
    </w:p>
    <w:p>
      <w:pPr>
        <w:pStyle w:val="11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卫生系统及其功能</w:t>
      </w:r>
    </w:p>
    <w:p>
      <w:pPr>
        <w:pStyle w:val="11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全球卫生保健策略与中国医疗卫生体制改革</w:t>
      </w:r>
    </w:p>
    <w:p>
      <w:pPr>
        <w:pStyle w:val="11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医疗安全与管理</w:t>
      </w:r>
    </w:p>
    <w:p>
      <w:pPr>
        <w:pStyle w:val="11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突发公共卫生事件的预防与控制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健康管理作为一门新兴学科，重点研究健康的概念、内涵与评价标准、健康风险因素监测与控制、健康干预方法与手段、健康管理服务模式与实施路径、健康信息技术及与健康保险的结合等一系列理论和实践问题。健康管理学是健康服务与管理专业的核心基础课程，本课程定位于培养学生健康管理领域的专业技能和应用能力。要求学生掌握健康管理的基础理论知识，具有基本健康管理思路，能够把握行业发展动态，培养学生一定的健康管理能力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 xml:space="preserve">、考试的形式和结构 </w:t>
      </w:r>
      <w:r>
        <w:rPr>
          <w:rFonts w:ascii="宋体" w:hAnsi="宋体"/>
          <w:b/>
          <w:kern w:val="0"/>
          <w:sz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考核形式：闭卷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；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考试时间：150分钟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；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试卷题型：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名词解释题、</w:t>
      </w:r>
      <w:r>
        <w:rPr>
          <w:rFonts w:ascii="Times New Roman" w:hAnsi="Times New Roman" w:cs="Times New Roman"/>
          <w:color w:val="000000"/>
          <w:sz w:val="24"/>
          <w:szCs w:val="24"/>
        </w:rPr>
        <w:t>单项选择题、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简答题、论述题；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对考试辅助工具的要求：携带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铅笔、</w:t>
      </w:r>
      <w:r>
        <w:rPr>
          <w:rFonts w:ascii="Times New Roman" w:hAnsi="Times New Roman" w:cs="Times New Roman"/>
          <w:color w:val="000000"/>
          <w:sz w:val="24"/>
          <w:szCs w:val="24"/>
        </w:rPr>
        <w:t>钢笔、圆珠笔或中性笔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，无其他要求</w:t>
      </w:r>
      <w:r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pStyle w:val="11"/>
        <w:numPr>
          <w:ilvl w:val="0"/>
          <w:numId w:val="2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健康管理学，郭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娇</w:t>
      </w:r>
      <w:r>
        <w:rPr>
          <w:rFonts w:hint="eastAsia" w:ascii="Times New Roman" w:hAnsi="Times New Roman" w:cs="Times New Roman"/>
          <w:sz w:val="24"/>
          <w:szCs w:val="24"/>
        </w:rPr>
        <w:t>，人民卫生出版社，2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</w:rPr>
        <w:t>，ISBN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787117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295086</w:t>
      </w:r>
    </w:p>
    <w:p>
      <w:pPr>
        <w:pStyle w:val="11"/>
        <w:numPr>
          <w:ilvl w:val="0"/>
          <w:numId w:val="2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预防医学，王培玉、袁聚祥、马骏，北京大学医学出版社，2</w:t>
      </w:r>
      <w:r>
        <w:rPr>
          <w:rFonts w:ascii="Times New Roman" w:hAnsi="Times New Roman" w:cs="Times New Roman"/>
          <w:sz w:val="24"/>
          <w:szCs w:val="24"/>
        </w:rPr>
        <w:t>018</w:t>
      </w:r>
      <w:r>
        <w:rPr>
          <w:rFonts w:hint="eastAsia" w:ascii="Times New Roman" w:hAnsi="Times New Roman" w:cs="Times New Roman"/>
          <w:sz w:val="24"/>
          <w:szCs w:val="24"/>
        </w:rPr>
        <w:t>，ISBN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</w:rPr>
        <w:t>9787565919039</w:t>
      </w: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019D3"/>
    <w:multiLevelType w:val="multilevel"/>
    <w:tmpl w:val="0CE019D3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B245B"/>
    <w:multiLevelType w:val="multilevel"/>
    <w:tmpl w:val="0F2B245B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5D4DCF"/>
    <w:multiLevelType w:val="multilevel"/>
    <w:tmpl w:val="185D4DCF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A97497"/>
    <w:multiLevelType w:val="multilevel"/>
    <w:tmpl w:val="1EA97497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527284"/>
    <w:multiLevelType w:val="multilevel"/>
    <w:tmpl w:val="2C527284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BC1CF4"/>
    <w:multiLevelType w:val="multilevel"/>
    <w:tmpl w:val="2EBC1CF4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5D78D2"/>
    <w:multiLevelType w:val="multilevel"/>
    <w:tmpl w:val="315D78D2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C362CE"/>
    <w:multiLevelType w:val="multilevel"/>
    <w:tmpl w:val="34C362CE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D50419"/>
    <w:multiLevelType w:val="multilevel"/>
    <w:tmpl w:val="3CD50419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8707A1"/>
    <w:multiLevelType w:val="multilevel"/>
    <w:tmpl w:val="498707A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AE3706"/>
    <w:multiLevelType w:val="multilevel"/>
    <w:tmpl w:val="4EAE3706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07785D"/>
    <w:multiLevelType w:val="multilevel"/>
    <w:tmpl w:val="5307785D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9807D5"/>
    <w:multiLevelType w:val="multilevel"/>
    <w:tmpl w:val="589807D5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F23635"/>
    <w:multiLevelType w:val="multilevel"/>
    <w:tmpl w:val="5EF23635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337C49"/>
    <w:multiLevelType w:val="multilevel"/>
    <w:tmpl w:val="62337C49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E001DB"/>
    <w:multiLevelType w:val="multilevel"/>
    <w:tmpl w:val="65E001DB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391E78"/>
    <w:multiLevelType w:val="multilevel"/>
    <w:tmpl w:val="6C391E78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3C2595"/>
    <w:multiLevelType w:val="multilevel"/>
    <w:tmpl w:val="6F3C2595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B604D0"/>
    <w:multiLevelType w:val="multilevel"/>
    <w:tmpl w:val="72B604D0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5B4BE8"/>
    <w:multiLevelType w:val="multilevel"/>
    <w:tmpl w:val="7A5B4BE8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19"/>
  </w:num>
  <w:num w:numId="8">
    <w:abstractNumId w:val="1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17"/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18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4MDA2MTMzOTg2YTFiZjEyOGEzOTQyMmJiZmJhMGEifQ=="/>
    <w:docVar w:name="KSO_WPS_MARK_KEY" w:val="022afad4-9175-41f9-baf6-5311d080a751"/>
  </w:docVars>
  <w:rsids>
    <w:rsidRoot w:val="00243E94"/>
    <w:rsid w:val="00083EA6"/>
    <w:rsid w:val="001D3C14"/>
    <w:rsid w:val="001F401E"/>
    <w:rsid w:val="00243262"/>
    <w:rsid w:val="00243E94"/>
    <w:rsid w:val="00295CE5"/>
    <w:rsid w:val="002C7CC2"/>
    <w:rsid w:val="00315BEC"/>
    <w:rsid w:val="00364042"/>
    <w:rsid w:val="003D5866"/>
    <w:rsid w:val="003F7AA4"/>
    <w:rsid w:val="00514E7D"/>
    <w:rsid w:val="005339DD"/>
    <w:rsid w:val="00543448"/>
    <w:rsid w:val="00571E5C"/>
    <w:rsid w:val="00776EA7"/>
    <w:rsid w:val="007E7ADB"/>
    <w:rsid w:val="00882ED8"/>
    <w:rsid w:val="00D65510"/>
    <w:rsid w:val="00E90114"/>
    <w:rsid w:val="00E9041E"/>
    <w:rsid w:val="00EC69DF"/>
    <w:rsid w:val="062D5BA3"/>
    <w:rsid w:val="13B96F2E"/>
    <w:rsid w:val="16956F92"/>
    <w:rsid w:val="1D785CB0"/>
    <w:rsid w:val="1FAC2918"/>
    <w:rsid w:val="29485C0F"/>
    <w:rsid w:val="2B4F0937"/>
    <w:rsid w:val="2FDA3E5C"/>
    <w:rsid w:val="31C463A9"/>
    <w:rsid w:val="32682158"/>
    <w:rsid w:val="3B392F9B"/>
    <w:rsid w:val="3FCC045E"/>
    <w:rsid w:val="41A657D1"/>
    <w:rsid w:val="458E66FE"/>
    <w:rsid w:val="48DF6732"/>
    <w:rsid w:val="4AAC595C"/>
    <w:rsid w:val="4E770255"/>
    <w:rsid w:val="583B7E28"/>
    <w:rsid w:val="5CC52169"/>
    <w:rsid w:val="5E7F081B"/>
    <w:rsid w:val="69B31FE7"/>
    <w:rsid w:val="706C4516"/>
    <w:rsid w:val="788C7250"/>
    <w:rsid w:val="7A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1">
    <w:name w:val="List Paragraph"/>
    <w:basedOn w:val="1"/>
    <w:uiPriority w:val="99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1514</Words>
  <Characters>1591</Characters>
  <Lines>12</Lines>
  <Paragraphs>3</Paragraphs>
  <TotalTime>14</TotalTime>
  <ScaleCrop>false</ScaleCrop>
  <LinksUpToDate>false</LinksUpToDate>
  <CharactersWithSpaces>1620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2022-11-30T02:01:00Z</dcterms:created>
  <dc:creator>China</dc:creator>
  <cp:lastModifiedBy>宏志</cp:lastModifiedBy>
  <cp:lastPrinted>2023-12-29T06:31:00Z</cp:lastPrinted>
  <dcterms:modified xsi:type="dcterms:W3CDTF">2023-12-29T08:36:34Z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ED1077F58D70470DB9AE343DB4C5A7E7_13</vt:lpwstr>
  </property>
</Properties>
</file>